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79471A">
            <w:r>
              <w:rPr>
                <w:b/>
                <w:noProof/>
                <w:lang w:val="sr-Cyrl-RS"/>
              </w:rPr>
              <w:t xml:space="preserve">                            </w:t>
            </w:r>
            <w:r w:rsidRPr="008A0461">
              <w:rPr>
                <w:b/>
                <w:noProof/>
              </w:rPr>
              <w:t xml:space="preserve">  </w:t>
            </w:r>
            <w:r w:rsidRPr="008A0461">
              <w:rPr>
                <w:b/>
                <w:noProof/>
              </w:rPr>
              <w:drawing>
                <wp:inline distT="0" distB="0" distL="0" distR="0" wp14:anchorId="5D9B8D2E" wp14:editId="338401BE">
                  <wp:extent cx="440055" cy="64706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Република Србија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 xml:space="preserve">МИНИСТАРСТВО ТРГОВИНЕ, 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ТУРИЗМА И ТЕЛЕКОМУНИКАЦИЈА</w:t>
            </w:r>
          </w:p>
          <w:p w:rsidR="00DE1921" w:rsidRPr="003E54A1" w:rsidRDefault="00DE1921" w:rsidP="0079471A">
            <w:pPr>
              <w:jc w:val="center"/>
              <w:rPr>
                <w:rFonts w:eastAsia="Calibri"/>
                <w:lang w:val="sr-Cyrl-RS"/>
              </w:rPr>
            </w:pPr>
            <w:r w:rsidRPr="0098500C">
              <w:rPr>
                <w:lang w:val="ru-RU"/>
              </w:rPr>
              <w:t xml:space="preserve">Број: </w:t>
            </w:r>
            <w:r>
              <w:rPr>
                <w:rFonts w:eastAsia="Calibri"/>
                <w:lang w:val="sr-Latn-RS"/>
              </w:rPr>
              <w:t>404-02-1</w:t>
            </w:r>
            <w:r>
              <w:rPr>
                <w:rFonts w:eastAsia="Calibri"/>
                <w:lang w:val="sr-Cyrl-CS"/>
              </w:rPr>
              <w:t>16</w:t>
            </w:r>
            <w:r w:rsidRPr="00A729DD">
              <w:rPr>
                <w:rFonts w:eastAsia="Calibri"/>
                <w:lang w:val="sr-Latn-CS"/>
              </w:rPr>
              <w:t>/</w:t>
            </w:r>
            <w:r>
              <w:rPr>
                <w:rFonts w:eastAsia="Calibri"/>
                <w:lang w:val="sr-Latn-RS"/>
              </w:rPr>
              <w:t>201</w:t>
            </w:r>
            <w:r>
              <w:rPr>
                <w:rFonts w:eastAsia="Calibri"/>
                <w:lang w:val="sr-Cyrl-CS"/>
              </w:rPr>
              <w:t>5</w:t>
            </w:r>
            <w:r w:rsidRPr="00A729DD">
              <w:rPr>
                <w:rFonts w:eastAsia="Calibri"/>
                <w:lang w:val="sr-Latn-RS"/>
              </w:rPr>
              <w:t>-02</w:t>
            </w:r>
            <w:r>
              <w:rPr>
                <w:rFonts w:eastAsia="Calibri"/>
                <w:lang w:val="sr-Cyrl-RS"/>
              </w:rPr>
              <w:t>/4</w:t>
            </w:r>
          </w:p>
          <w:p w:rsidR="00DE1921" w:rsidRPr="008A0461" w:rsidRDefault="00DE1921" w:rsidP="0079471A">
            <w:pPr>
              <w:rPr>
                <w:lang w:val="ru-RU"/>
              </w:rPr>
            </w:pPr>
            <w:r>
              <w:rPr>
                <w:lang w:val="sr-Cyrl-RS"/>
              </w:rPr>
              <w:t xml:space="preserve">                   14</w:t>
            </w:r>
            <w:r>
              <w:t>.</w:t>
            </w:r>
            <w:r>
              <w:rPr>
                <w:lang w:val="sr-Cyrl-RS"/>
              </w:rPr>
              <w:t>10</w:t>
            </w:r>
            <w:r w:rsidRPr="00F747E3">
              <w:t>.</w:t>
            </w:r>
            <w:r w:rsidRPr="0098500C">
              <w:rPr>
                <w:lang w:val="ru-RU"/>
              </w:rPr>
              <w:t>201</w:t>
            </w:r>
            <w:r w:rsidRPr="0098500C">
              <w:t>5</w:t>
            </w:r>
            <w:r w:rsidRPr="0098500C">
              <w:rPr>
                <w:lang w:val="ru-RU"/>
              </w:rPr>
              <w:t>. године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Немањина 22-26</w:t>
            </w:r>
          </w:p>
          <w:p w:rsidR="00DE192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Б е о г р а д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</w:p>
        </w:tc>
      </w:tr>
    </w:tbl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 xml:space="preserve">Одговор на захтев за додатне информације или </w:t>
      </w:r>
      <w:proofErr w:type="spellStart"/>
      <w:r>
        <w:rPr>
          <w:rFonts w:eastAsia="Calibri"/>
          <w:b/>
          <w:sz w:val="28"/>
          <w:szCs w:val="28"/>
          <w:lang w:val="sr-Cyrl-RS"/>
        </w:rPr>
        <w:t>појашњења</w:t>
      </w:r>
      <w:proofErr w:type="spellEnd"/>
      <w:r>
        <w:rPr>
          <w:rFonts w:eastAsia="Calibri"/>
          <w:b/>
          <w:sz w:val="28"/>
          <w:szCs w:val="28"/>
          <w:lang w:val="sr-Cyrl-RS"/>
        </w:rPr>
        <w:t xml:space="preserve"> у вези са</w:t>
      </w:r>
    </w:p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 xml:space="preserve"> припремањем понуде</w:t>
      </w:r>
    </w:p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</w:p>
    <w:p w:rsidR="00DE1921" w:rsidRDefault="00DE1921" w:rsidP="00DE1921">
      <w:pPr>
        <w:jc w:val="both"/>
        <w:rPr>
          <w:lang w:val="sr-Cyrl-CS"/>
        </w:rPr>
      </w:pPr>
      <w:r>
        <w:rPr>
          <w:rFonts w:eastAsia="Calibri"/>
          <w:b/>
          <w:lang w:val="sr-Cyrl-RS"/>
        </w:rPr>
        <w:tab/>
      </w:r>
      <w:r>
        <w:rPr>
          <w:rFonts w:eastAsia="Calibri"/>
          <w:lang w:val="sr-Cyrl-RS"/>
        </w:rPr>
        <w:t>У складу са чланом 63. став 3. Закона о јавним набавкама („Службени гласник РС” број 124/12,</w:t>
      </w:r>
      <w:r w:rsidR="00AE4C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14/15 и 68/15</w:t>
      </w:r>
      <w:r w:rsidR="00AB065D">
        <w:rPr>
          <w:rFonts w:eastAsia="Calibri"/>
          <w:lang w:val="sr-Cyrl-RS"/>
        </w:rPr>
        <w:t xml:space="preserve">) објављујемо </w:t>
      </w:r>
      <w:r>
        <w:rPr>
          <w:rFonts w:eastAsia="Calibri"/>
          <w:b/>
          <w:lang w:val="sr-Cyrl-RS"/>
        </w:rPr>
        <w:t>Одговор 1</w:t>
      </w:r>
      <w:r>
        <w:rPr>
          <w:rFonts w:eastAsia="Calibri"/>
          <w:lang w:val="sr-Cyrl-RS"/>
        </w:rPr>
        <w:t xml:space="preserve"> на захтев за додатне информације или </w:t>
      </w:r>
      <w:proofErr w:type="spellStart"/>
      <w:r>
        <w:rPr>
          <w:rFonts w:eastAsia="Calibri"/>
          <w:lang w:val="sr-Cyrl-RS"/>
        </w:rPr>
        <w:t>појашњења</w:t>
      </w:r>
      <w:proofErr w:type="spellEnd"/>
      <w:r>
        <w:rPr>
          <w:rFonts w:eastAsia="Calibri"/>
          <w:lang w:val="sr-Cyrl-RS"/>
        </w:rPr>
        <w:t xml:space="preserve"> у вези са припремањем понуде за јавну набавку радова </w:t>
      </w:r>
      <w:r>
        <w:rPr>
          <w:lang w:val="sr-Cyrl-CS"/>
        </w:rPr>
        <w:t xml:space="preserve">Израда и постављање туристичке </w:t>
      </w:r>
      <w:proofErr w:type="spellStart"/>
      <w:r>
        <w:rPr>
          <w:lang w:val="sr-Cyrl-CS"/>
        </w:rPr>
        <w:t>сабраћајне</w:t>
      </w:r>
      <w:proofErr w:type="spellEnd"/>
      <w:r>
        <w:rPr>
          <w:lang w:val="sr-Cyrl-CS"/>
        </w:rPr>
        <w:t xml:space="preserve"> сигнализације за означавање међународне </w:t>
      </w:r>
      <w:proofErr w:type="spellStart"/>
      <w:r>
        <w:rPr>
          <w:lang w:val="sr-Cyrl-CS"/>
        </w:rPr>
        <w:t>руте</w:t>
      </w:r>
      <w:proofErr w:type="spellEnd"/>
      <w:r>
        <w:rPr>
          <w:lang w:val="sr-Cyrl-CS"/>
        </w:rPr>
        <w:t xml:space="preserve"> </w:t>
      </w:r>
      <w:r>
        <w:t>“Iron Curtain”</w:t>
      </w:r>
      <w:r>
        <w:rPr>
          <w:lang w:val="sr-Cyrl-CS"/>
        </w:rPr>
        <w:t xml:space="preserve"> кроз Републику Србију – прва фаза, број ЈН</w:t>
      </w:r>
      <w:r>
        <w:rPr>
          <w:lang w:val="sr-Latn-CS"/>
        </w:rPr>
        <w:t xml:space="preserve"> O</w:t>
      </w:r>
      <w:r w:rsidR="00AE4C97">
        <w:rPr>
          <w:lang w:val="sr-Cyrl-CS"/>
        </w:rPr>
        <w:t>-</w:t>
      </w:r>
      <w:r>
        <w:rPr>
          <w:lang w:val="sr-Cyrl-RS"/>
        </w:rPr>
        <w:t>31</w:t>
      </w:r>
      <w:r>
        <w:rPr>
          <w:lang w:val="sr-Cyrl-CS"/>
        </w:rPr>
        <w:t>/201</w:t>
      </w:r>
      <w:r>
        <w:rPr>
          <w:lang w:val="sr-Latn-CS"/>
        </w:rPr>
        <w:t>5</w:t>
      </w:r>
      <w:r>
        <w:rPr>
          <w:lang w:val="sr-Cyrl-CS"/>
        </w:rPr>
        <w:t>.</w:t>
      </w:r>
    </w:p>
    <w:p w:rsidR="00DE1921" w:rsidRDefault="00DE1921" w:rsidP="00DE1921">
      <w:pPr>
        <w:jc w:val="both"/>
        <w:rPr>
          <w:lang w:val="sr-Cyrl-CS"/>
        </w:rPr>
      </w:pPr>
    </w:p>
    <w:p w:rsidR="00AE4C97" w:rsidRPr="00AE4C97" w:rsidRDefault="00DE1921" w:rsidP="00DE1921">
      <w:pPr>
        <w:tabs>
          <w:tab w:val="center" w:pos="4680"/>
          <w:tab w:val="right" w:pos="9360"/>
        </w:tabs>
        <w:rPr>
          <w:lang w:val="sr-Cyrl-CS"/>
        </w:rPr>
      </w:pPr>
      <w:r w:rsidRPr="00AE4C97">
        <w:rPr>
          <w:b/>
          <w:lang w:val="sr-Cyrl-CS"/>
        </w:rPr>
        <w:t>ПИТАЊЕ 1:</w:t>
      </w:r>
      <w:r w:rsidRPr="00AE4C97">
        <w:rPr>
          <w:lang w:val="sr-Cyrl-CS"/>
        </w:rPr>
        <w:t xml:space="preserve"> </w:t>
      </w:r>
    </w:p>
    <w:p w:rsidR="00AB065D" w:rsidRDefault="00AE4C97" w:rsidP="00AE4C97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lang w:val="sr-Cyrl-CS"/>
        </w:rPr>
        <w:tab/>
      </w:r>
      <w:r w:rsidR="00AB065D">
        <w:rPr>
          <w:lang w:val="sr-Cyrl-CS"/>
        </w:rPr>
        <w:t xml:space="preserve">За кадровски и технички капацитет наведено је да фирма мора имати 2 лиценцирана </w:t>
      </w:r>
      <w:proofErr w:type="spellStart"/>
      <w:r w:rsidR="00AB065D">
        <w:rPr>
          <w:lang w:val="sr-Cyrl-CS"/>
        </w:rPr>
        <w:t>инжињера</w:t>
      </w:r>
      <w:proofErr w:type="spellEnd"/>
      <w:r w:rsidR="00AB065D">
        <w:rPr>
          <w:lang w:val="sr-Cyrl-CS"/>
        </w:rPr>
        <w:t xml:space="preserve"> саобраћаја са лиценцом 470. Како смо ми фирма из Босне и Херцеговине, такве лиценце код нас не постоје. Да ли постоји замјена за тај услов?</w:t>
      </w:r>
    </w:p>
    <w:p w:rsidR="00AE4C97" w:rsidRDefault="00AE4C97" w:rsidP="00AE4C97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AE4C97" w:rsidRDefault="00AE4C97" w:rsidP="00DE1921">
      <w:pPr>
        <w:tabs>
          <w:tab w:val="center" w:pos="4680"/>
          <w:tab w:val="right" w:pos="9360"/>
        </w:tabs>
        <w:rPr>
          <w:b/>
          <w:lang w:val="sr-Cyrl-CS"/>
        </w:rPr>
      </w:pPr>
      <w:r w:rsidRPr="00AE4C97">
        <w:rPr>
          <w:b/>
          <w:lang w:val="sr-Cyrl-CS"/>
        </w:rPr>
        <w:t>ОДГОВОР 1:</w:t>
      </w:r>
    </w:p>
    <w:p w:rsidR="00AE4C97" w:rsidRDefault="00AE4C97" w:rsidP="00CD68E1">
      <w:pPr>
        <w:tabs>
          <w:tab w:val="center" w:pos="4680"/>
          <w:tab w:val="right" w:pos="9360"/>
        </w:tabs>
        <w:jc w:val="both"/>
        <w:rPr>
          <w:lang w:val="sr-Cyrl-CS"/>
        </w:rPr>
      </w:pPr>
      <w:proofErr w:type="spellStart"/>
      <w:r w:rsidRPr="00AE4C97">
        <w:rPr>
          <w:lang w:val="sr-Cyrl-CS"/>
        </w:rPr>
        <w:t>Ускладу</w:t>
      </w:r>
      <w:proofErr w:type="spellEnd"/>
      <w:r w:rsidRPr="00AE4C97">
        <w:rPr>
          <w:lang w:val="sr-Cyrl-CS"/>
        </w:rPr>
        <w:t xml:space="preserve"> </w:t>
      </w:r>
      <w:r>
        <w:rPr>
          <w:lang w:val="sr-Cyrl-CS"/>
        </w:rPr>
        <w:t xml:space="preserve">са Одлуком о условима </w:t>
      </w:r>
      <w:r w:rsidR="00CD68E1">
        <w:rPr>
          <w:lang w:val="sr-Cyrl-CS"/>
        </w:rPr>
        <w:t>и поступку за утврђивање усклађ</w:t>
      </w:r>
      <w:r>
        <w:rPr>
          <w:lang w:val="sr-Cyrl-CS"/>
        </w:rPr>
        <w:t xml:space="preserve">ености лиценци које издају друге земље са правилима Инжењерске коморе Србије број:254/03-4-12 од 25.11.2003. године и </w:t>
      </w:r>
      <w:r w:rsidR="00CD68E1">
        <w:rPr>
          <w:lang w:val="sr-Cyrl-CS"/>
        </w:rPr>
        <w:t>Изменом и допуном Одлуке о условима и поступку за утврђивање усклађености лиценци које издају друге земље са правилима Инжењерске коморе Србије, број: 1141/1-5 о0д 29.05.2009. године, утврђују се услови и поступак за утврђивање усклађености лиценци које издају друге земље  са правилима Инжењерске коморе Србије, уколико између друге инжењерске коморе и Инжењерске коморе Србије није закључен споразум о међусобном признавању издатих лиценци.</w:t>
      </w:r>
      <w:r w:rsidR="001B51CF">
        <w:rPr>
          <w:lang w:val="sr-Cyrl-CS"/>
        </w:rPr>
        <w:t xml:space="preserve"> Уколико постоји споразум о међусобном признавању издатих лиценци, </w:t>
      </w:r>
      <w:proofErr w:type="spellStart"/>
      <w:r w:rsidR="001B51CF">
        <w:rPr>
          <w:lang w:val="sr-Cyrl-CS"/>
        </w:rPr>
        <w:t>потрено</w:t>
      </w:r>
      <w:proofErr w:type="spellEnd"/>
      <w:r w:rsidR="001B51CF">
        <w:rPr>
          <w:lang w:val="sr-Cyrl-CS"/>
        </w:rPr>
        <w:t xml:space="preserve"> је исти доставити уз Понуду.</w:t>
      </w:r>
    </w:p>
    <w:p w:rsidR="001B51CF" w:rsidRDefault="001B51CF" w:rsidP="00CD68E1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lang w:val="sr-Cyrl-CS"/>
        </w:rPr>
        <w:t xml:space="preserve">Инжењерска комора Србије утврђује усклађеност лиценци и лицима која нису чланови других Инжењерских комора, уколико у тим земљама нису организоване </w:t>
      </w:r>
      <w:proofErr w:type="spellStart"/>
      <w:r>
        <w:rPr>
          <w:lang w:val="sr-Cyrl-CS"/>
        </w:rPr>
        <w:t>Инжињерске</w:t>
      </w:r>
      <w:proofErr w:type="spellEnd"/>
      <w:r>
        <w:rPr>
          <w:lang w:val="sr-Cyrl-CS"/>
        </w:rPr>
        <w:t xml:space="preserve"> коморе, којима су лиценце, односно одговарајућа овлашћења издали одговарајући органи државне управе, уколико су прописима тих земаља за издавање лиценци, односно одговарајућих овлашћења искључиво овлашћени органи државне управе.</w:t>
      </w:r>
    </w:p>
    <w:p w:rsidR="00CD68E1" w:rsidRPr="00AE4C97" w:rsidRDefault="00CD68E1" w:rsidP="00CD68E1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lang w:val="sr-Cyrl-CS"/>
        </w:rPr>
        <w:t xml:space="preserve">За добијање Одлуке о усклађености лиценце потребно је поднети писани захтев Управном одбору </w:t>
      </w:r>
      <w:r w:rsidR="008C5828">
        <w:rPr>
          <w:lang w:val="sr-Cyrl-CS"/>
        </w:rPr>
        <w:t xml:space="preserve">Инжењерске коморе </w:t>
      </w:r>
      <w:r w:rsidR="008C5828">
        <w:rPr>
          <w:lang w:val="sr-Cyrl-RS"/>
        </w:rPr>
        <w:t>С</w:t>
      </w:r>
      <w:bookmarkStart w:id="0" w:name="_GoBack"/>
      <w:bookmarkEnd w:id="0"/>
      <w:proofErr w:type="spellStart"/>
      <w:r w:rsidR="001B51CF">
        <w:rPr>
          <w:lang w:val="sr-Cyrl-CS"/>
        </w:rPr>
        <w:t>рбије</w:t>
      </w:r>
      <w:proofErr w:type="spellEnd"/>
      <w:r w:rsidR="001B51CF">
        <w:rPr>
          <w:lang w:val="sr-Cyrl-CS"/>
        </w:rPr>
        <w:t>.</w:t>
      </w:r>
    </w:p>
    <w:p w:rsidR="00AE4C97" w:rsidRDefault="00AE4C97" w:rsidP="00DE1921">
      <w:pPr>
        <w:tabs>
          <w:tab w:val="center" w:pos="4680"/>
          <w:tab w:val="right" w:pos="9360"/>
        </w:tabs>
        <w:rPr>
          <w:b/>
          <w:lang w:val="sr-Cyrl-CS"/>
        </w:rPr>
      </w:pPr>
    </w:p>
    <w:p w:rsidR="00AE4C97" w:rsidRPr="00AE4C97" w:rsidRDefault="00AE4C97" w:rsidP="00DE1921">
      <w:pPr>
        <w:tabs>
          <w:tab w:val="center" w:pos="4680"/>
          <w:tab w:val="right" w:pos="9360"/>
        </w:tabs>
        <w:rPr>
          <w:b/>
        </w:rPr>
      </w:pPr>
    </w:p>
    <w:p w:rsidR="00A83ABE" w:rsidRDefault="00A83ABE"/>
    <w:sectPr w:rsidR="00A83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0E"/>
    <w:rsid w:val="001B51CF"/>
    <w:rsid w:val="00207E0E"/>
    <w:rsid w:val="008C5828"/>
    <w:rsid w:val="00A83ABE"/>
    <w:rsid w:val="00AB065D"/>
    <w:rsid w:val="00AE4C97"/>
    <w:rsid w:val="00CD68E1"/>
    <w:rsid w:val="00DE1921"/>
    <w:rsid w:val="00F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Maja Popovic</cp:lastModifiedBy>
  <cp:revision>3</cp:revision>
  <dcterms:created xsi:type="dcterms:W3CDTF">2015-10-14T12:47:00Z</dcterms:created>
  <dcterms:modified xsi:type="dcterms:W3CDTF">2015-10-14T13:17:00Z</dcterms:modified>
</cp:coreProperties>
</file>